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安徽医科大学附属妇幼保健院202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年硕士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研究生复试、录取工作方案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《安徽医科大学2022年硕士研究生招生复试、录取工作实施办法》（以下简称“实施办法”）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的文件要求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我院将组织开展2022年第一轮研究生复试、录取工作。我院研究生复试、录取工作将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坚持“三个确保”的基本原则，严格落实疫情防控要求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坚决维护国家教育考试公平公正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坚持全面衡量、综合评价、择优录取，确保招生质量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积极稳妥推进我院研究生复试工作。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highlight w:val="none"/>
          <w:lang w:val="en-US" w:eastAsia="zh-CN"/>
        </w:rPr>
        <w:t>复试安排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140" w:leftChars="0" w:firstLine="0" w:firstLineChars="0"/>
        <w:jc w:val="both"/>
        <w:rPr>
          <w:rFonts w:hint="default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复试时间：2022年4月1日（星期五）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140" w:leftChars="0"/>
        <w:jc w:val="both"/>
        <w:rPr>
          <w:rFonts w:hint="default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2、复试形式：网络远程复试，复试主平台为腾讯会议（备用平台为钉钉会议）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140" w:leftChars="0"/>
        <w:jc w:val="both"/>
        <w:rPr>
          <w:rFonts w:hint="default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3、复试对象：第一志愿报考我院的考生且达到“2022年全国硕士研究生招生考试考生进入复试的初试成绩基本要求”（复试分数线A类）执行，生源充足的学科必须实行差额复试并且差额比例，控制在1:1.5（小数部分按1人计），超过差额范围的考生不予进入该专业复试。总分或单科未达复试分数线的考生不予复试。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highlight w:val="none"/>
          <w:lang w:val="en-US" w:eastAsia="zh-CN"/>
        </w:rPr>
        <w:t>二、组织管理及培训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医院成立了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研究生招生工作领导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组，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负责和指导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的研究生招生复试、录取工作，并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按照大学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疫情防控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严格做好复试期间的防控措施。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专业成立复试小组，全面负责本学科复试录取工作。同一专业只成立一个复试小组，复试小组成员不少于5人，由教研室（学科系）负责人、导师组成员及相同学科专家等组成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并报送院纪委备案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研究生复试录取工作实行责任追究制，提高政治站位，严格落实各环节责任。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医院加强对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复试导师、专家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管理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培训，使其了解政策、熟悉规则、掌握复试平台操作方法，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严明招生纪律，强化保密意识、责任意识和法治意识，加强招生廉洁自律建设，坚决抵制徇私舞弊等不正之风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复试导师、专家、助理人员和其他工作人员如有家人或亲属报考本学科（专业），必须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执行回避政策，不得参加复试工作。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</w:rPr>
        <w:t>复试内容及形式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复试由专业素养考核、专业英语考核和综合能力考核三部分组成。针对远程网络复试形式，各培养单位应根据学科特点和专业要求，在确保复试考核科学有效、公平公正和可操作的前提下，科学设计复试流程，优化复试程序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1.专业素养考核（满分50分）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由各培养单位或学科自主组织，开展分类复试，学术型与专业学位须有所侧重。包括专业知识、基本技能等专业相关素养的考核，可以采取专家问答、技能/实践操作、综合案例分析、方案设计、命题考试等多种形式开展。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2.专业英语考核（满分20分）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形式由学科自主组织，包括专业英语、听说能力等英语应用能力的考核。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3.综合能力考核（满分30分）</w:t>
      </w:r>
    </w:p>
    <w:p>
      <w:pPr>
        <w:tabs>
          <w:tab w:val="left" w:pos="0"/>
          <w:tab w:val="left" w:pos="846"/>
          <w:tab w:val="left" w:pos="1701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过资料查验和面试形式考核，包括对考生大学期间的成绩、毕业论文、科研成果、获奖、专家推荐信等情况；考生既往学业、一贯表现、科研能力、综合素质和思想品德等情况；考生专业发展潜力、创新创业精神；专业外的社会实践表现；事业心、责任感、纪律性、协作性和心理健康状况；人文素养、语言表达和应变能力等的综合考核。</w:t>
      </w:r>
    </w:p>
    <w:p>
      <w:pPr>
        <w:tabs>
          <w:tab w:val="left" w:pos="5018"/>
          <w:tab w:val="left" w:pos="5983"/>
        </w:tabs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四、成绩计算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ab/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1.复试成绩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（满分100分）＝专业素养成绩+专业英语成绩+综合能力成绩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2.总成绩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（满分100分）＝（初试成绩÷5）×60％＋复试成绩×40%</w:t>
      </w: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、录取原则</w:t>
      </w:r>
    </w:p>
    <w:p>
      <w:pPr>
        <w:spacing w:line="360" w:lineRule="auto"/>
        <w:ind w:firstLine="548" w:firstLineChars="196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所有参加复试的考生复试合格后方可录取。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</w:rPr>
        <w:t>复试成绩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加权总分100分，60分为合格线，低于60分为不合格，则不予录取。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如没有完整参加各个环节的复试，则不予录取。</w:t>
      </w:r>
    </w:p>
    <w:p>
      <w:pPr>
        <w:spacing w:line="360" w:lineRule="auto"/>
        <w:ind w:firstLine="548" w:firstLineChars="196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各学科（专业）应根据总成绩给考生排序（全日制与非全日制考生分开排序；学术型与专业学位是不同专业，分别排序），从高分到低分依次录取并确定录取类别（只有全日制非定向就业、非全日制定向就业两种类别）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如遇招生计划最后一名总成绩相同时，则初试成绩高者录取，如再相同，则初试英语高者录取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，同时确定导师（未列入招生目录的导师、未在研究生学院备案的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本年度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新增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招生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导师不得招生）。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在任何阶段，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一旦发现考生不符合规定的报考条件、未通过或未完成学历（学籍）审核、考试违纪作弊、替考、身体及政治思想道德状况不符合录取要求的，因相关材料缺失、隐瞒已规培或农村免费订单定向生身份等其他信息的，无论何时，不予录取，责任自负。对于作弊考生无论何时核查确定，一律按照国家有关规定严肃处理。入学后3个月内，按照《普通高等学校学生管理规定》有关要求，对所有考生进行全面复查。复查不合格的，取消学籍；情节严重的，移交有关部门调查处理。</w:t>
      </w:r>
    </w:p>
    <w:p>
      <w:pPr>
        <w:tabs>
          <w:tab w:val="left" w:pos="0"/>
          <w:tab w:val="left" w:pos="846"/>
          <w:tab w:val="left" w:pos="1701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参加“大学生志愿服务西部计划”“三支一扶计划”“农村义务教育阶段学校教师特设岗位计划”“赴外汉语教师志愿者”等项目服务期满、考核合格的考生，以及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普通高等学校应届毕业生应征入伍服义务兵役退役后，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3年内参加全国硕士研究生招生考试的，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提供相关证明材料并核实后，按照国家有关规定享受相应照顾政策。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思想政治素质和品德考核内容主要包括考生的政治态度、思想表现、道德品质、遵纪守法、诚实守信、学习工作态度等方面。思想政治素质和品德考核可采取“函调”或“派人外调”的方式。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函调的考生现实表现材料，需由考生本人档案或学习/工作所在单位的人事、政工部门加盖印章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体检标准参照教育部、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卫生部、中国残联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的《普通高等学校招生体检工作指导意见》（教学〔2003〕3号）和《教育部办公厅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卫生部办公厅关于普通高等学校招生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入学身体检查取消乙肝项目检测有关问题的通知》（教学厅〔2010〕2号）文件执行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，凡体检结果属于以上文件规定的不适宜相关专业录取的考生（例如有色弱、色盲者不能录取为我校医学、理学、工学、教育学类各专业），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所有拟录取的考生都必须参加体检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参加我院复试的考生提前了解体检标准和要求，以免新生入学体检不合格被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取消学籍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</w:rPr>
        <w:t>信息公开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28"/>
          <w:szCs w:val="28"/>
          <w:highlight w:val="none"/>
        </w:rPr>
        <w:t>根据《教育部关于进一步推进高校招生信息公开工作的通知》（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教学函〔2013〕9号）精神，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我校研招工作坚持“十公开”原则，主动接受考生与社会的监督。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各学科（专业）面试结束后，整理汇总复试结果，填写《分学科（专业）硕士研究生复试结果公示表》，并将结果第一时间公布给考生。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复试结束后，复试结果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上报安医大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在安医大研招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网公布，拟录取名单在网上公示10个工作日。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tabs>
          <w:tab w:val="left" w:pos="0"/>
          <w:tab w:val="left" w:pos="846"/>
          <w:tab w:val="left" w:pos="1701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bCs/>
          <w:color w:val="00000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F0393"/>
    <w:multiLevelType w:val="singleLevel"/>
    <w:tmpl w:val="F7EF0393"/>
    <w:lvl w:ilvl="0" w:tentative="0">
      <w:start w:val="1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abstractNum w:abstractNumId="1">
    <w:nsid w:val="6B77D121"/>
    <w:multiLevelType w:val="singleLevel"/>
    <w:tmpl w:val="6B77D1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471B"/>
    <w:rsid w:val="0D9F5638"/>
    <w:rsid w:val="20676CE7"/>
    <w:rsid w:val="326F3FA3"/>
    <w:rsid w:val="332B3AC7"/>
    <w:rsid w:val="442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小小苏</dc:creator>
  <cp:lastModifiedBy>沈</cp:lastModifiedBy>
  <dcterms:modified xsi:type="dcterms:W3CDTF">2022-03-31T09:32:34Z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9D13F19EA60C4AC1A3B86B3F71FF55CC</vt:lpwstr>
  </property>
</Properties>
</file>