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624" w:beforeLines="200" w:line="1200" w:lineRule="exact"/>
        <w:jc w:val="distribute"/>
        <w:rPr>
          <w:rFonts w:ascii="方正小标宋_GBK" w:hAnsi="宋体" w:eastAsia="方正小标宋_GBK"/>
          <w:bCs/>
          <w:color w:val="FF0000"/>
          <w:w w:val="44"/>
          <w:sz w:val="138"/>
          <w:szCs w:val="108"/>
        </w:rPr>
      </w:pPr>
      <w:r>
        <w:rPr>
          <w:rFonts w:hint="eastAsia" w:ascii="方正小标宋_GBK" w:hAnsi="宋体" w:eastAsia="方正小标宋_GBK"/>
          <w:bCs/>
          <w:color w:val="FF0000"/>
          <w:w w:val="44"/>
          <w:sz w:val="138"/>
          <w:szCs w:val="108"/>
        </w:rPr>
        <w:t>安徽医科大学处室文件</w:t>
      </w:r>
    </w:p>
    <w:p>
      <w:pPr>
        <w:spacing w:before="624" w:beforeLines="200" w:line="590" w:lineRule="exact"/>
        <w:jc w:val="center"/>
        <w:rPr>
          <w:rFonts w:hint="eastAsia" w:ascii="仿宋" w:hAnsi="仿宋" w:eastAsia="仿宋"/>
          <w:bCs/>
          <w:sz w:val="32"/>
          <w:szCs w:val="32"/>
        </w:rPr>
      </w:pPr>
      <w:r>
        <w:rPr>
          <w:rFonts w:hint="eastAsia" w:ascii="仿宋_GB2312" w:eastAsia="仿宋_GB2312"/>
          <w:color w:val="000000"/>
          <w:sz w:val="32"/>
          <w:szCs w:val="32"/>
        </w:rPr>
        <w:t>学位字</w:t>
      </w:r>
      <w:r>
        <w:rPr>
          <w:rFonts w:hint="eastAsia" w:ascii="仿宋_GB2312" w:eastAsia="仿宋_GB2312"/>
          <w:color w:val="000000"/>
          <w:sz w:val="32"/>
          <w:szCs w:val="32"/>
          <w:lang w:val="zh-CN"/>
        </w:rPr>
        <w:t>〔20</w:t>
      </w:r>
      <w:r>
        <w:rPr>
          <w:rFonts w:hint="eastAsia" w:ascii="仿宋_GB2312" w:eastAsia="仿宋_GB2312"/>
          <w:color w:val="000000"/>
          <w:sz w:val="32"/>
          <w:szCs w:val="32"/>
        </w:rPr>
        <w:t>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lang w:val="zh-CN"/>
        </w:rPr>
        <w:t>〕</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号</w:t>
      </w:r>
    </w:p>
    <w:p>
      <w:pPr>
        <w:adjustRightInd w:val="0"/>
        <w:snapToGrid w:val="0"/>
      </w:pPr>
      <w:r>
        <w:pict>
          <v:group id="head" o:spid="_x0000_s1027" o:spt="203" style="position:absolute;left:0pt;margin-left:-0.5pt;margin-top:2.2pt;height:29.95pt;width:442.2pt;z-index:251659264;mso-width-relative:page;mso-height-relative:page;" coordorigin="1656,3966" coordsize="8844,599" editas="canvas">
            <o:lock v:ext="edit"/>
            <v:shape id="head" o:spid="_x0000_s1028" o:spt="75" type="#_x0000_t75" style="position:absolute;left:1656;top:3966;height:599;width:8844;" filled="f" o:preferrelative="t" stroked="f" coordsize="21600,21600">
              <v:path/>
              <v:fill on="f" focussize="0,0"/>
              <v:stroke on="f"/>
              <v:imagedata o:title=""/>
              <o:lock v:ext="edit" aspectratio="t"/>
            </v:shape>
            <v:line id="Line 7" o:spid="_x0000_s1029" o:spt="20" style="position:absolute;left:1656;top:4285;height:1;width:8844;"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XS8QAAADaAAAADwAAAGRycy9kb3ducmV2LnhtbESPQWsCMRSE74L/IbxCL1KzlaKybhQp&#10;CB7EohWKt+fmNVncvCybuG7/fVMQehxm5humWPWuFh21ofKs4HWcgSAuva7YKDh9bl7mIEJE1lh7&#10;JgU/FGC1HA4KzLW/84G6YzQiQTjkqMDG2ORShtKSwzD2DXHyvn3rMCbZGqlbvCe4q+Uky6bSYcVp&#10;wWJD75bK6/HmFIR6Z0cfX+e9ucSzv5rpfD8rd0o9P/XrBYhIffwPP9pbreAN/q6kG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B9dLxAAAANoAAAAPAAAAAAAAAAAA&#10;AAAAAKECAABkcnMvZG93bnJldi54bWxQSwUGAAAAAAQABAD5AAAAkgMAAAAA&#10;">
              <v:path arrowok="t"/>
              <v:fill focussize="0,0"/>
              <v:stroke weight="2.5pt" color="#FF0000"/>
              <v:imagedata o:title=""/>
              <o:lock v:ext="edit"/>
            </v:line>
          </v:group>
        </w:pict>
      </w:r>
    </w:p>
    <w:p>
      <w:pPr>
        <w:adjustRightInd w:val="0"/>
        <w:snapToGrid w:val="0"/>
      </w:pPr>
    </w:p>
    <w:p>
      <w:pPr>
        <w:adjustRightInd w:val="0"/>
        <w:snapToGrid w:val="0"/>
        <w:spacing w:line="580" w:lineRule="exact"/>
        <w:ind w:left="556" w:leftChars="270" w:right="554" w:rightChars="269"/>
        <w:jc w:val="center"/>
        <w:rPr>
          <w:rFonts w:ascii="方正小标宋_GBK" w:eastAsia="方正小标宋_GBK"/>
          <w:sz w:val="44"/>
          <w:szCs w:val="44"/>
        </w:rPr>
      </w:pPr>
    </w:p>
    <w:p>
      <w:pPr>
        <w:adjustRightInd w:val="0"/>
        <w:snapToGrid w:val="0"/>
        <w:spacing w:line="580" w:lineRule="exact"/>
        <w:ind w:right="554" w:rightChars="269"/>
        <w:jc w:val="center"/>
        <w:rPr>
          <w:rFonts w:ascii="方正小标宋简体" w:eastAsia="方正小标宋简体"/>
          <w:sz w:val="44"/>
          <w:szCs w:val="44"/>
        </w:rPr>
      </w:pPr>
      <w:r>
        <w:rPr>
          <w:rFonts w:hint="eastAsia" w:ascii="方正小标宋简体" w:eastAsia="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关于填报</w:t>
      </w:r>
      <w:r>
        <w:rPr>
          <w:rFonts w:hint="eastAsia" w:ascii="方正小标宋简体" w:hAnsi="方正小标宋简体" w:eastAsia="方正小标宋简体" w:cs="方正小标宋简体"/>
          <w:sz w:val="44"/>
          <w:szCs w:val="44"/>
          <w:lang w:val="en-US" w:eastAsia="zh-CN"/>
        </w:rPr>
        <w:t>2020-2021年度</w:t>
      </w:r>
      <w:r>
        <w:rPr>
          <w:rFonts w:hint="eastAsia" w:ascii="方正小标宋简体" w:hAnsi="方正小标宋简体" w:eastAsia="方正小标宋简体" w:cs="方正小标宋简体"/>
          <w:sz w:val="44"/>
          <w:szCs w:val="44"/>
        </w:rPr>
        <w:t>学位授权点基本状态信息的通知</w:t>
      </w:r>
    </w:p>
    <w:p>
      <w:pPr>
        <w:adjustRightInd w:val="0"/>
        <w:snapToGrid w:val="0"/>
        <w:spacing w:line="580" w:lineRule="exact"/>
        <w:rPr>
          <w:rFonts w:hint="eastAsia" w:ascii="方正仿宋_GBK" w:eastAsia="方正仿宋_GBK"/>
          <w:szCs w:val="32"/>
        </w:rPr>
      </w:pPr>
    </w:p>
    <w:p>
      <w:pPr>
        <w:adjustRightInd w:val="0"/>
        <w:snapToGrid w:val="0"/>
        <w:spacing w:line="360" w:lineRule="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各学院、学位授权点：</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根据《国务院学位委员会 教育部关于开展2020—2025年学位授权点周期性合格评估工作的通知》（学位〔2020〕26号）、《关于2020—2025年学位授权点周期性合格评估若干事项安排的通知》（学位办〔2021〕3号）、国务院学位办《关于填报学位授权点基本状态信息的通知》（学位办〔2022〕4号）以及《安徽医科大学学位授权点评估工作方案》（校学位字〔2021〕2号）等文件要求，为组织实施好信息填报等相关工作，现将有关事项通知如下：</w:t>
      </w:r>
    </w:p>
    <w:p>
      <w:pPr>
        <w:adjustRightInd w:val="0"/>
        <w:snapToGrid w:val="0"/>
        <w:spacing w:line="360" w:lineRule="auto"/>
        <w:ind w:firstLine="632"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一、工作组织</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学位授权点基本状态信息是教育管理部门了解各学位授权点的主要数据窗口，将作为管理部门开展学位授权点管理、推进人才培养专项工作等相关工作的数据支撑。各学院应统筹学位授权点基本状态信息填报与学位授权点申报、动态调整、培养过程管理、质量监督评价等各项工作；加强组织保障和统筹协调，将学位授权点基本状态信息采集与管理作为内部自我监督的抓手，高质量完成信息填报工作；应以学位授权点基本状态信息作为开展学位授权点自评的基础信息，建立起常态化信息监测机制。</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按照《安徽医科大学学位授权点评估工作方案》（校学位字〔2021〕2号）要求，各学院学位授权点自评工作领导小组负责本学院学位授权点的自评估工作。各学院学位授权点自评估工作领导小组应协调组织，形成工作专班，按照《学位授权点基本状态信息表》（附件1，以下简称“信息表”）和《学位授权点建设年度报告》（附件2，以下简称“年度报告”）的填报内容和要求，整理本学位点涵盖全校层面的相关数据，填报、撰写相关材料。</w:t>
      </w:r>
    </w:p>
    <w:p>
      <w:pPr>
        <w:adjustRightInd w:val="0"/>
        <w:snapToGrid w:val="0"/>
        <w:spacing w:line="360" w:lineRule="auto"/>
        <w:ind w:firstLine="632"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二、填报范围</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2020-2025年学位授权点周期性合格评估范围内的学位授权点应进行填报。在2021年确认参评的学位授权点中，根据学位授权审核及动态调整结果，硕士学位授权点升为一级学位授权点的，均按新获授权的学位授权点参加专项合格评估，原学位授权点不再参加本轮周期性合格评估（参评名单见附件3）。</w:t>
      </w:r>
    </w:p>
    <w:p>
      <w:pPr>
        <w:adjustRightInd w:val="0"/>
        <w:snapToGrid w:val="0"/>
        <w:spacing w:line="360" w:lineRule="auto"/>
        <w:ind w:firstLine="632"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三、填报要求</w:t>
      </w:r>
      <w:bookmarkStart w:id="0" w:name="_GoBack"/>
      <w:bookmarkEnd w:id="0"/>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各参评点登录“学位授权点基本状态信息填报系统”（以下简称“填报系统”，访问地址</w:t>
      </w:r>
      <w:r>
        <w:rPr>
          <w:rFonts w:hint="eastAsia" w:ascii="Times New Roman" w:hAnsi="Times New Roman" w:eastAsia="仿宋_GB2312" w:cs="Times New Roman"/>
          <w:b/>
          <w:bCs/>
          <w:sz w:val="32"/>
          <w:szCs w:val="32"/>
          <w:lang w:eastAsia="zh-CN"/>
        </w:rPr>
        <w:t>https：//xw.zju.edu.cn</w:t>
      </w:r>
      <w:r>
        <w:rPr>
          <w:rFonts w:hint="eastAsia" w:ascii="Times New Roman" w:hAnsi="Times New Roman" w:eastAsia="仿宋_GB2312" w:cs="Times New Roman"/>
          <w:sz w:val="32"/>
          <w:szCs w:val="32"/>
          <w:lang w:eastAsia="zh-CN"/>
        </w:rPr>
        <w:t>）进行填报。</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请各牵头（责任）单位指定数据填报具体工作负责人，填写完整《XX学院学位授权点基本状态信息填报工作负责人信息登记表》（附件4），须在</w:t>
      </w:r>
      <w:r>
        <w:rPr>
          <w:rFonts w:hint="eastAsia" w:ascii="Times New Roman" w:hAnsi="Times New Roman" w:eastAsia="仿宋_GB2312" w:cs="Times New Roman"/>
          <w:b/>
          <w:bCs/>
          <w:sz w:val="32"/>
          <w:szCs w:val="32"/>
          <w:lang w:eastAsia="zh-CN"/>
        </w:rPr>
        <w:t>2022年</w:t>
      </w:r>
      <w:r>
        <w:rPr>
          <w:rFonts w:hint="eastAsia"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eastAsia="zh-CN"/>
        </w:rPr>
        <w:t>月</w:t>
      </w:r>
      <w:r>
        <w:rPr>
          <w:rFonts w:hint="eastAsia" w:ascii="Times New Roman" w:hAnsi="Times New Roman" w:eastAsia="仿宋_GB2312" w:cs="Times New Roman"/>
          <w:b/>
          <w:bCs/>
          <w:sz w:val="32"/>
          <w:szCs w:val="32"/>
          <w:lang w:val="en-US" w:eastAsia="zh-CN"/>
        </w:rPr>
        <w:t>22</w:t>
      </w:r>
      <w:r>
        <w:rPr>
          <w:rFonts w:hint="eastAsia" w:ascii="Times New Roman" w:hAnsi="Times New Roman" w:eastAsia="仿宋_GB2312" w:cs="Times New Roman"/>
          <w:b/>
          <w:bCs/>
          <w:sz w:val="32"/>
          <w:szCs w:val="32"/>
          <w:lang w:eastAsia="zh-CN"/>
        </w:rPr>
        <w:t>日前</w:t>
      </w:r>
      <w:r>
        <w:rPr>
          <w:rFonts w:hint="eastAsia" w:ascii="Times New Roman" w:hAnsi="Times New Roman" w:eastAsia="仿宋_GB2312" w:cs="Times New Roman"/>
          <w:sz w:val="32"/>
          <w:szCs w:val="32"/>
          <w:lang w:eastAsia="zh-CN"/>
        </w:rPr>
        <w:t>将Word版和加盖所在学院公章后的PDF版报至校学位办。填报期间原则上不得更换负责人。</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各参评点须在</w:t>
      </w:r>
      <w:r>
        <w:rPr>
          <w:rFonts w:hint="eastAsia" w:ascii="Times New Roman" w:hAnsi="Times New Roman" w:eastAsia="仿宋_GB2312" w:cs="Times New Roman"/>
          <w:b/>
          <w:bCs/>
          <w:sz w:val="32"/>
          <w:szCs w:val="32"/>
          <w:lang w:eastAsia="zh-CN"/>
        </w:rPr>
        <w:t>2022年3月31日前</w:t>
      </w:r>
      <w:r>
        <w:rPr>
          <w:rFonts w:hint="eastAsia" w:ascii="Times New Roman" w:hAnsi="Times New Roman" w:eastAsia="仿宋_GB2312" w:cs="Times New Roman"/>
          <w:sz w:val="32"/>
          <w:szCs w:val="32"/>
          <w:lang w:eastAsia="zh-CN"/>
        </w:rPr>
        <w:t>完成本次信息填报的前期准备及撰写工作，包括《学位授权点基本状态信息表》以及需上传学位授权点基本状态填报系统的支撑材料</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eastAsia="zh-CN"/>
        </w:rPr>
        <w:t>并提交相关Word版材料至校学位办。</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填报系统于3月21日开放，各参评点须在</w:t>
      </w:r>
      <w:r>
        <w:rPr>
          <w:rFonts w:hint="eastAsia" w:ascii="Times New Roman" w:hAnsi="Times New Roman" w:eastAsia="仿宋_GB2312" w:cs="Times New Roman"/>
          <w:b/>
          <w:bCs/>
          <w:sz w:val="32"/>
          <w:szCs w:val="32"/>
          <w:lang w:eastAsia="zh-CN"/>
        </w:rPr>
        <w:t>2022年4月18日前</w:t>
      </w:r>
      <w:r>
        <w:rPr>
          <w:rFonts w:hint="eastAsia" w:ascii="Times New Roman" w:hAnsi="Times New Roman" w:eastAsia="仿宋_GB2312" w:cs="Times New Roman"/>
          <w:sz w:val="32"/>
          <w:szCs w:val="32"/>
          <w:lang w:eastAsia="zh-CN"/>
        </w:rPr>
        <w:t>完成本次系统填报工作。信息表分为博士学术学位授权点、硕士学术学位授权点、专业学位授权点三类。各单位应对照填表说明认真填报，保证数据的真实、完整、准确。系统的操作使用详见登录页面的用户手册-学位点用户使用说明（附件5）。</w:t>
      </w:r>
    </w:p>
    <w:p>
      <w:pPr>
        <w:adjustRightInd w:val="0"/>
        <w:snapToGrid w:val="0"/>
        <w:spacing w:line="360" w:lineRule="auto"/>
        <w:ind w:firstLine="632"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四、评估经费分配</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为支持各单位顺利开展学位授权点合格自评估工作，推动各学位授权点后期建设与发展，学校将给每个参评点拨付经费5万元（附件6）。</w:t>
      </w:r>
    </w:p>
    <w:p>
      <w:pPr>
        <w:adjustRightInd w:val="0"/>
        <w:snapToGrid w:val="0"/>
        <w:spacing w:line="360" w:lineRule="auto"/>
        <w:ind w:firstLine="632"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五、其他事宜</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各参评点应在上述工作的基础上，按照《安徽医科大学学位授权点评估工作方案》（校学位字〔2021〕2号）要求，及时启动本学位点的自评估工作，在</w:t>
      </w:r>
      <w:r>
        <w:rPr>
          <w:rFonts w:hint="eastAsia" w:ascii="Times New Roman" w:hAnsi="Times New Roman" w:eastAsia="仿宋_GB2312" w:cs="Times New Roman"/>
          <w:b/>
          <w:bCs/>
          <w:sz w:val="32"/>
          <w:szCs w:val="32"/>
          <w:lang w:eastAsia="zh-CN"/>
        </w:rPr>
        <w:t>2022年底前</w:t>
      </w:r>
      <w:r>
        <w:rPr>
          <w:rFonts w:hint="eastAsia" w:ascii="Times New Roman" w:hAnsi="Times New Roman" w:eastAsia="仿宋_GB2312" w:cs="Times New Roman"/>
          <w:sz w:val="32"/>
          <w:szCs w:val="32"/>
          <w:lang w:eastAsia="zh-CN"/>
        </w:rPr>
        <w:t>完成本学位点的自评估工作。</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各参评点应在准确掌握本学位点基本状态信息的基础上，对照《学位授权点抽评要素》（附件7）和《学位授权审核申请基本条件（2020）》（附件8），检查梳理本学位点办学条件和培养制度建设等方面的情况，认真查找所存在的影响培养质量的问题，在自评估期间持续做好改进，凝练特色，为迎接教育行政部门随机抽评做好基础准备工作。</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按照《安徽医科大学学位授权点评估工作方案》（校学位字〔2021〕2号）要求，各相关学院、附院、职能部门等单位要积极支持和配合各参评学位点的自评估工作，确保自评达到预期效果，为后期整改提供依据。发展规划处会同研究生学院等职能部门参与评估工作。</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在周期性合格评估时期内，各参评学位点应根据学位授权点建设情况，认真、规范撰写年度报告，确保各项数据真实、完整、准确，须在</w:t>
      </w:r>
      <w:r>
        <w:rPr>
          <w:rFonts w:hint="eastAsia" w:ascii="Times New Roman" w:hAnsi="Times New Roman" w:eastAsia="仿宋_GB2312" w:cs="Times New Roman"/>
          <w:b/>
          <w:bCs/>
          <w:sz w:val="32"/>
          <w:szCs w:val="32"/>
          <w:lang w:eastAsia="zh-CN"/>
        </w:rPr>
        <w:t>每年3月初</w:t>
      </w:r>
      <w:r>
        <w:rPr>
          <w:rFonts w:hint="eastAsia" w:ascii="Times New Roman" w:hAnsi="Times New Roman" w:eastAsia="仿宋_GB2312" w:cs="Times New Roman"/>
          <w:sz w:val="32"/>
          <w:szCs w:val="32"/>
          <w:lang w:eastAsia="zh-CN"/>
        </w:rPr>
        <w:t>按时完成年度报告的编制及报送工作。</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未尽事宜，另行通知。</w:t>
      </w: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联系人：赵梦银；电话：0551-65169496；邮箱：aydxwb@126.com。</w:t>
      </w:r>
    </w:p>
    <w:p>
      <w:pPr>
        <w:adjustRightInd w:val="0"/>
        <w:snapToGrid w:val="0"/>
        <w:spacing w:line="360" w:lineRule="auto"/>
        <w:rPr>
          <w:rFonts w:hint="eastAsia" w:ascii="Times New Roman" w:hAnsi="Times New Roman" w:eastAsia="仿宋_GB2312" w:cs="Times New Roman"/>
          <w:sz w:val="32"/>
          <w:szCs w:val="32"/>
          <w:lang w:eastAsia="zh-CN"/>
        </w:rPr>
      </w:pPr>
    </w:p>
    <w:p>
      <w:pPr>
        <w:adjustRightInd w:val="0"/>
        <w:snapToGrid w:val="0"/>
        <w:spacing w:line="360" w:lineRule="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附件：1.学位授权点基本状态信息表（样表）</w:t>
      </w:r>
    </w:p>
    <w:p>
      <w:pPr>
        <w:adjustRightInd w:val="0"/>
        <w:snapToGrid w:val="0"/>
        <w:spacing w:line="360" w:lineRule="auto"/>
        <w:ind w:firstLine="948" w:firstLineChars="3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2.学位授权点建设年度报告（模板）</w:t>
      </w:r>
    </w:p>
    <w:p>
      <w:pPr>
        <w:adjustRightInd w:val="0"/>
        <w:snapToGrid w:val="0"/>
        <w:spacing w:line="360" w:lineRule="auto"/>
        <w:ind w:firstLine="948" w:firstLineChars="3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3.学位授权点合格评估参评名单</w:t>
      </w:r>
    </w:p>
    <w:p>
      <w:pPr>
        <w:adjustRightInd w:val="0"/>
        <w:snapToGrid w:val="0"/>
        <w:spacing w:line="360" w:lineRule="auto"/>
        <w:ind w:left="939" w:leftChars="456" w:firstLine="0" w:firstLineChars="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4.XX学院学位授权点基本状态信息填报工作负责人信息登记表</w:t>
      </w:r>
    </w:p>
    <w:p>
      <w:pPr>
        <w:adjustRightInd w:val="0"/>
        <w:snapToGrid w:val="0"/>
        <w:spacing w:line="360" w:lineRule="auto"/>
        <w:ind w:firstLine="948" w:firstLineChars="3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5.学位授权点基本状态填报系统——学位点用户使用说明</w:t>
      </w:r>
    </w:p>
    <w:p>
      <w:pPr>
        <w:adjustRightInd w:val="0"/>
        <w:snapToGrid w:val="0"/>
        <w:spacing w:line="360" w:lineRule="auto"/>
        <w:ind w:firstLine="948" w:firstLineChars="3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6.学位授权点合格评估经费分配表</w:t>
      </w:r>
    </w:p>
    <w:p>
      <w:pPr>
        <w:adjustRightInd w:val="0"/>
        <w:snapToGrid w:val="0"/>
        <w:spacing w:line="360" w:lineRule="auto"/>
        <w:ind w:firstLine="948" w:firstLineChars="3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7.学位授权点抽评要素</w:t>
      </w:r>
    </w:p>
    <w:p>
      <w:pPr>
        <w:adjustRightInd w:val="0"/>
        <w:snapToGrid w:val="0"/>
        <w:spacing w:line="360" w:lineRule="auto"/>
        <w:ind w:firstLine="948" w:firstLineChars="3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8.学位授权审核申请基本条件（2020）</w:t>
      </w:r>
    </w:p>
    <w:p>
      <w:pPr>
        <w:adjustRightInd w:val="0"/>
        <w:snapToGrid w:val="0"/>
        <w:spacing w:line="360" w:lineRule="auto"/>
        <w:rPr>
          <w:rFonts w:hint="eastAsia" w:ascii="Times New Roman" w:hAnsi="Times New Roman" w:eastAsia="仿宋_GB2312" w:cs="Times New Roman"/>
          <w:sz w:val="32"/>
          <w:szCs w:val="32"/>
          <w:lang w:eastAsia="zh-CN"/>
        </w:rPr>
      </w:pPr>
    </w:p>
    <w:p>
      <w:pPr>
        <w:adjustRightInd w:val="0"/>
        <w:snapToGrid w:val="0"/>
        <w:spacing w:line="360" w:lineRule="auto"/>
        <w:ind w:firstLine="632" w:firstLineChars="200"/>
        <w:rPr>
          <w:rFonts w:hint="eastAsia" w:ascii="Times New Roman" w:hAnsi="Times New Roman" w:eastAsia="仿宋_GB2312" w:cs="Times New Roman"/>
          <w:sz w:val="32"/>
          <w:szCs w:val="32"/>
          <w:lang w:eastAsia="zh-CN"/>
        </w:rPr>
      </w:pPr>
    </w:p>
    <w:p>
      <w:pPr>
        <w:adjustRightInd w:val="0"/>
        <w:snapToGrid w:val="0"/>
        <w:spacing w:line="360" w:lineRule="auto"/>
        <w:ind w:firstLine="632"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ab/>
      </w:r>
      <w:r>
        <w:rPr>
          <w:rFonts w:hint="eastAsia" w:ascii="Times New Roman" w:hAnsi="Times New Roman" w:eastAsia="仿宋_GB2312" w:cs="Times New Roman"/>
          <w:sz w:val="32"/>
          <w:szCs w:val="32"/>
          <w:lang w:eastAsia="zh-CN"/>
        </w:rPr>
        <w:t xml:space="preserve">        </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发展规划处</w:t>
      </w:r>
    </w:p>
    <w:p>
      <w:pPr>
        <w:adjustRightInd w:val="0"/>
        <w:snapToGrid w:val="0"/>
        <w:spacing w:line="360" w:lineRule="auto"/>
        <w:ind w:firstLine="632" w:firstLineChars="200"/>
        <w:rPr>
          <w:rFonts w:hint="eastAsia" w:ascii="方正仿宋_GBK" w:eastAsia="方正仿宋_GBK"/>
          <w:sz w:val="30"/>
          <w:szCs w:val="30"/>
        </w:rPr>
      </w:pPr>
      <w:r>
        <w:rPr>
          <w:rFonts w:hint="eastAsia" w:ascii="Times New Roman" w:hAnsi="Times New Roman" w:eastAsia="仿宋_GB2312" w:cs="Times New Roman"/>
          <w:sz w:val="32"/>
          <w:szCs w:val="32"/>
          <w:lang w:eastAsia="zh-CN"/>
        </w:rPr>
        <w:t xml:space="preserve">                                 2022年3月2</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日</w:t>
      </w:r>
    </w:p>
    <w:p>
      <w:pPr>
        <w:adjustRightInd w:val="0"/>
        <w:snapToGrid w:val="0"/>
        <w:spacing w:line="360" w:lineRule="auto"/>
        <w:ind w:firstLine="592" w:firstLineChars="200"/>
        <w:rPr>
          <w:rFonts w:ascii="方正仿宋_GBK" w:eastAsia="方正仿宋_GBK"/>
          <w:sz w:val="30"/>
          <w:szCs w:val="30"/>
        </w:rPr>
      </w:pPr>
    </w:p>
    <w:p>
      <w:pPr>
        <w:adjustRightInd w:val="0"/>
        <w:snapToGrid w:val="0"/>
        <w:spacing w:line="360" w:lineRule="auto"/>
        <w:ind w:firstLine="592" w:firstLineChars="200"/>
        <w:rPr>
          <w:rFonts w:ascii="方正仿宋_GBK" w:eastAsia="方正仿宋_GBK"/>
          <w:sz w:val="30"/>
          <w:szCs w:val="30"/>
        </w:rPr>
      </w:pPr>
    </w:p>
    <w:p>
      <w:pPr>
        <w:adjustRightInd w:val="0"/>
        <w:snapToGrid w:val="0"/>
        <w:spacing w:line="520" w:lineRule="exact"/>
        <w:rPr>
          <w:rFonts w:ascii="方正仿宋_GBK" w:eastAsia="方正仿宋_GBK"/>
          <w:sz w:val="30"/>
          <w:szCs w:val="30"/>
        </w:rPr>
      </w:pPr>
    </w:p>
    <w:p>
      <w:pPr>
        <w:adjustRightInd w:val="0"/>
        <w:snapToGrid w:val="0"/>
        <w:spacing w:line="520" w:lineRule="exact"/>
        <w:rPr>
          <w:rFonts w:ascii="方正仿宋_GBK" w:eastAsia="方正仿宋_GBK"/>
          <w:sz w:val="30"/>
          <w:szCs w:val="30"/>
        </w:rPr>
      </w:pPr>
    </w:p>
    <w:p>
      <w:pPr>
        <w:adjustRightInd w:val="0"/>
        <w:snapToGrid w:val="0"/>
        <w:rPr>
          <w:szCs w:val="30"/>
        </w:rPr>
      </w:pPr>
    </w:p>
    <w:sectPr>
      <w:pgSz w:w="11906" w:h="16838"/>
      <w:pgMar w:top="2098" w:right="1531" w:bottom="1814" w:left="1531" w:header="851" w:footer="992" w:gutter="0"/>
      <w:cols w:space="425" w:num="1"/>
      <w:docGrid w:type="linesAndChars" w:linePitch="312" w:charSpace="-8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103"/>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10C7"/>
    <w:rsid w:val="00126670"/>
    <w:rsid w:val="001C4D16"/>
    <w:rsid w:val="001D5A96"/>
    <w:rsid w:val="001E0564"/>
    <w:rsid w:val="002A10C7"/>
    <w:rsid w:val="003544FF"/>
    <w:rsid w:val="003C17C7"/>
    <w:rsid w:val="003E3A48"/>
    <w:rsid w:val="00463730"/>
    <w:rsid w:val="00466EF6"/>
    <w:rsid w:val="0049389A"/>
    <w:rsid w:val="004D3A75"/>
    <w:rsid w:val="004E017A"/>
    <w:rsid w:val="004F4A3D"/>
    <w:rsid w:val="005676E4"/>
    <w:rsid w:val="005B7166"/>
    <w:rsid w:val="005C40E2"/>
    <w:rsid w:val="006F3387"/>
    <w:rsid w:val="007534C2"/>
    <w:rsid w:val="007C1373"/>
    <w:rsid w:val="007E3963"/>
    <w:rsid w:val="0080433D"/>
    <w:rsid w:val="008918D6"/>
    <w:rsid w:val="009155C3"/>
    <w:rsid w:val="00984419"/>
    <w:rsid w:val="00B256B5"/>
    <w:rsid w:val="00B30E4C"/>
    <w:rsid w:val="00B64FB4"/>
    <w:rsid w:val="00C233AC"/>
    <w:rsid w:val="00D52741"/>
    <w:rsid w:val="00D71164"/>
    <w:rsid w:val="00EB7E60"/>
    <w:rsid w:val="00F47A66"/>
    <w:rsid w:val="00F773DF"/>
    <w:rsid w:val="012E0FCE"/>
    <w:rsid w:val="01395070"/>
    <w:rsid w:val="02634661"/>
    <w:rsid w:val="0774295E"/>
    <w:rsid w:val="08F1498E"/>
    <w:rsid w:val="09897638"/>
    <w:rsid w:val="0A1026E6"/>
    <w:rsid w:val="0CC36705"/>
    <w:rsid w:val="0D6820CB"/>
    <w:rsid w:val="0E9C3AD2"/>
    <w:rsid w:val="0EDD1F81"/>
    <w:rsid w:val="0F6D52DD"/>
    <w:rsid w:val="10B62527"/>
    <w:rsid w:val="114E2471"/>
    <w:rsid w:val="120E39AF"/>
    <w:rsid w:val="15C727F2"/>
    <w:rsid w:val="1740285C"/>
    <w:rsid w:val="1749089C"/>
    <w:rsid w:val="19AF551E"/>
    <w:rsid w:val="1A8F10BA"/>
    <w:rsid w:val="1B1F6C2C"/>
    <w:rsid w:val="1C4921B3"/>
    <w:rsid w:val="1F185E6D"/>
    <w:rsid w:val="20B66956"/>
    <w:rsid w:val="20F46465"/>
    <w:rsid w:val="237D2EB0"/>
    <w:rsid w:val="258921E3"/>
    <w:rsid w:val="260B04D9"/>
    <w:rsid w:val="27FE40B8"/>
    <w:rsid w:val="28365540"/>
    <w:rsid w:val="2A9860B3"/>
    <w:rsid w:val="2B853452"/>
    <w:rsid w:val="30F2476F"/>
    <w:rsid w:val="318D26EA"/>
    <w:rsid w:val="31F84007"/>
    <w:rsid w:val="321626E0"/>
    <w:rsid w:val="32463F4C"/>
    <w:rsid w:val="333D5A4A"/>
    <w:rsid w:val="34D128EE"/>
    <w:rsid w:val="39331DC9"/>
    <w:rsid w:val="39FA6443"/>
    <w:rsid w:val="3A28628C"/>
    <w:rsid w:val="3A4B414A"/>
    <w:rsid w:val="3B0752BB"/>
    <w:rsid w:val="3C502C92"/>
    <w:rsid w:val="3E4D59C9"/>
    <w:rsid w:val="3E9464D3"/>
    <w:rsid w:val="42D27D5B"/>
    <w:rsid w:val="430035A8"/>
    <w:rsid w:val="49C26973"/>
    <w:rsid w:val="4B08477A"/>
    <w:rsid w:val="4D8F2732"/>
    <w:rsid w:val="4E0F6509"/>
    <w:rsid w:val="4E2359D2"/>
    <w:rsid w:val="4F993975"/>
    <w:rsid w:val="4FC979FE"/>
    <w:rsid w:val="50373AF5"/>
    <w:rsid w:val="506A657D"/>
    <w:rsid w:val="5086682B"/>
    <w:rsid w:val="519B6CC8"/>
    <w:rsid w:val="52354064"/>
    <w:rsid w:val="533A4B08"/>
    <w:rsid w:val="54752E3E"/>
    <w:rsid w:val="55F61D5C"/>
    <w:rsid w:val="57AF48B9"/>
    <w:rsid w:val="57B67C45"/>
    <w:rsid w:val="593517B5"/>
    <w:rsid w:val="59483A99"/>
    <w:rsid w:val="5B8F6EDB"/>
    <w:rsid w:val="5CBF10FA"/>
    <w:rsid w:val="5CEE5E83"/>
    <w:rsid w:val="5E915B30"/>
    <w:rsid w:val="5F8F74AA"/>
    <w:rsid w:val="60D560BA"/>
    <w:rsid w:val="646A2293"/>
    <w:rsid w:val="65281D91"/>
    <w:rsid w:val="65C92FEA"/>
    <w:rsid w:val="674E76FC"/>
    <w:rsid w:val="675F0B70"/>
    <w:rsid w:val="6A3A4E27"/>
    <w:rsid w:val="6B5A281F"/>
    <w:rsid w:val="703B4AE4"/>
    <w:rsid w:val="703E6382"/>
    <w:rsid w:val="72356AE2"/>
    <w:rsid w:val="727D023F"/>
    <w:rsid w:val="74455F31"/>
    <w:rsid w:val="74D01475"/>
    <w:rsid w:val="74E74707"/>
    <w:rsid w:val="75F55A6A"/>
    <w:rsid w:val="77702A42"/>
    <w:rsid w:val="78136FA6"/>
    <w:rsid w:val="787319B1"/>
    <w:rsid w:val="79D33FDF"/>
    <w:rsid w:val="7A036561"/>
    <w:rsid w:val="7C1F38A0"/>
    <w:rsid w:val="7EB643A4"/>
    <w:rsid w:val="7EB8235F"/>
    <w:rsid w:val="7F28092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qFormat/>
    <w:uiPriority w:val="0"/>
    <w:pPr>
      <w:widowControl w:val="0"/>
      <w:spacing w:before="100" w:beforeAutospacing="1" w:after="100" w:afterAutospacing="1"/>
    </w:pPr>
    <w:rPr>
      <w:rFonts w:ascii="Calibri" w:hAnsi="Calibri" w:eastAsia="宋体" w:cs="Times New Roman"/>
      <w:sz w:val="24"/>
      <w:szCs w:val="24"/>
      <w:lang w:val="en-US" w:eastAsia="zh-CN" w:bidi="ar-SA"/>
    </w:rPr>
  </w:style>
  <w:style w:type="character" w:customStyle="1" w:styleId="7">
    <w:name w:val="页眉 Char"/>
    <w:link w:val="3"/>
    <w:qFormat/>
    <w:uiPriority w:val="99"/>
    <w:rPr>
      <w:kern w:val="2"/>
      <w:sz w:val="18"/>
      <w:szCs w:val="18"/>
    </w:rPr>
  </w:style>
  <w:style w:type="character" w:customStyle="1" w:styleId="8">
    <w:name w:val="页脚 Char"/>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1883</Words>
  <Characters>2038</Characters>
  <Lines>1</Lines>
  <Paragraphs>1</Paragraphs>
  <TotalTime>37</TotalTime>
  <ScaleCrop>false</ScaleCrop>
  <LinksUpToDate>false</LinksUpToDate>
  <CharactersWithSpaces>2120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2020-09-16T08:06:00Z</dcterms:created>
  <dc:creator>微软用户</dc:creator>
  <cp:lastModifiedBy>赵梦银</cp:lastModifiedBy>
  <cp:lastPrinted>2022-03-21T07:37:00Z</cp:lastPrinted>
  <dcterms:modified xsi:type="dcterms:W3CDTF">2022-03-22T07:35:08Z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37B703C65D0C4A1085A73FD3DBD3EFF5</vt:lpwstr>
  </property>
</Properties>
</file>